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B17" w:rsidRDefault="003A2B17">
      <w:pPr>
        <w:rPr>
          <w:b/>
        </w:rPr>
      </w:pPr>
    </w:p>
    <w:p w:rsidR="003A2B17" w:rsidRDefault="003A2B17">
      <w:pPr>
        <w:rPr>
          <w:b/>
        </w:rPr>
      </w:pPr>
    </w:p>
    <w:p w:rsidR="003A2B17" w:rsidRDefault="003A2B17">
      <w:pPr>
        <w:rPr>
          <w:b/>
        </w:rPr>
      </w:pPr>
    </w:p>
    <w:p w:rsidR="0088024F" w:rsidRDefault="0088024F">
      <w:pPr>
        <w:rPr>
          <w:b/>
        </w:rPr>
      </w:pPr>
    </w:p>
    <w:p w:rsidR="0088024F" w:rsidRDefault="0088024F">
      <w:pPr>
        <w:rPr>
          <w:b/>
        </w:rPr>
      </w:pPr>
    </w:p>
    <w:p w:rsidR="003A2B17" w:rsidRDefault="003A2B17" w:rsidP="003A2B17">
      <w:pPr>
        <w:ind w:firstLine="720"/>
        <w:contextualSpacing/>
        <w:jc w:val="center"/>
        <w:rPr>
          <w:rFonts w:cs="Times New Roman"/>
          <w:szCs w:val="24"/>
        </w:rPr>
      </w:pPr>
      <w:bookmarkStart w:id="0" w:name="_GoBack"/>
      <w:r w:rsidRPr="003A2B17">
        <w:rPr>
          <w:rFonts w:cs="Times New Roman"/>
          <w:szCs w:val="24"/>
        </w:rPr>
        <w:t xml:space="preserve">Assault, Battery, and Crimes against Persons </w:t>
      </w:r>
    </w:p>
    <w:bookmarkEnd w:id="0"/>
    <w:p w:rsidR="003A2B17" w:rsidRPr="003A2B17" w:rsidRDefault="003A2B17" w:rsidP="003A2B17">
      <w:pPr>
        <w:ind w:firstLine="720"/>
        <w:contextualSpacing/>
        <w:jc w:val="center"/>
        <w:rPr>
          <w:rFonts w:cs="Times New Roman"/>
          <w:szCs w:val="24"/>
        </w:rPr>
      </w:pPr>
      <w:r w:rsidRPr="003A2B17">
        <w:rPr>
          <w:rFonts w:cs="Times New Roman"/>
          <w:szCs w:val="24"/>
        </w:rPr>
        <w:t>Student’s Name</w:t>
      </w:r>
    </w:p>
    <w:p w:rsidR="003A2B17" w:rsidRPr="003A2B17" w:rsidRDefault="003A2B17" w:rsidP="003A2B17">
      <w:pPr>
        <w:ind w:firstLine="720"/>
        <w:contextualSpacing/>
        <w:jc w:val="center"/>
        <w:rPr>
          <w:rFonts w:cs="Times New Roman"/>
          <w:szCs w:val="24"/>
        </w:rPr>
      </w:pPr>
      <w:r w:rsidRPr="003A2B17">
        <w:rPr>
          <w:rFonts w:cs="Times New Roman"/>
          <w:szCs w:val="24"/>
        </w:rPr>
        <w:t>Professor’s Name</w:t>
      </w:r>
    </w:p>
    <w:p w:rsidR="003A2B17" w:rsidRDefault="003A2B17" w:rsidP="003A2B17">
      <w:pPr>
        <w:ind w:firstLine="720"/>
        <w:contextualSpacing/>
        <w:jc w:val="center"/>
        <w:rPr>
          <w:rFonts w:cs="Times New Roman"/>
          <w:szCs w:val="24"/>
        </w:rPr>
      </w:pPr>
      <w:r w:rsidRPr="003A2B17">
        <w:rPr>
          <w:rFonts w:cs="Times New Roman"/>
          <w:szCs w:val="24"/>
        </w:rPr>
        <w:t>Course Title</w:t>
      </w:r>
    </w:p>
    <w:p w:rsidR="003A2B17" w:rsidRPr="003A2B17" w:rsidRDefault="003A2B17" w:rsidP="003A2B17">
      <w:pPr>
        <w:ind w:firstLine="720"/>
        <w:contextualSpacing/>
        <w:jc w:val="center"/>
        <w:rPr>
          <w:rFonts w:cs="Times New Roman"/>
          <w:szCs w:val="24"/>
        </w:rPr>
      </w:pPr>
      <w:r w:rsidRPr="003A2B17">
        <w:rPr>
          <w:rFonts w:cs="Times New Roman"/>
          <w:szCs w:val="24"/>
        </w:rPr>
        <w:t>Date of Submission</w:t>
      </w:r>
    </w:p>
    <w:p w:rsidR="003A2B17" w:rsidRDefault="003A2B17">
      <w:pPr>
        <w:rPr>
          <w:b/>
        </w:rPr>
      </w:pPr>
    </w:p>
    <w:p w:rsidR="003A2B17" w:rsidRDefault="003A2B17">
      <w:pPr>
        <w:rPr>
          <w:b/>
        </w:rPr>
      </w:pPr>
    </w:p>
    <w:p w:rsidR="003A2B17" w:rsidRDefault="003A2B17">
      <w:pPr>
        <w:rPr>
          <w:b/>
        </w:rPr>
      </w:pPr>
    </w:p>
    <w:p w:rsidR="003A2B17" w:rsidRDefault="003A2B17">
      <w:pPr>
        <w:rPr>
          <w:b/>
        </w:rPr>
      </w:pPr>
    </w:p>
    <w:p w:rsidR="0088024F" w:rsidRDefault="0088024F">
      <w:pPr>
        <w:rPr>
          <w:b/>
        </w:rPr>
      </w:pPr>
    </w:p>
    <w:p w:rsidR="0088024F" w:rsidRDefault="0088024F">
      <w:pPr>
        <w:rPr>
          <w:b/>
        </w:rPr>
      </w:pPr>
    </w:p>
    <w:p w:rsidR="0088024F" w:rsidRDefault="0088024F">
      <w:pPr>
        <w:rPr>
          <w:b/>
        </w:rPr>
      </w:pPr>
    </w:p>
    <w:p w:rsidR="0088024F" w:rsidRDefault="0088024F">
      <w:pPr>
        <w:rPr>
          <w:b/>
        </w:rPr>
      </w:pPr>
    </w:p>
    <w:p w:rsidR="0088024F" w:rsidRDefault="0088024F">
      <w:pPr>
        <w:rPr>
          <w:b/>
        </w:rPr>
      </w:pPr>
    </w:p>
    <w:p w:rsidR="005F160D" w:rsidRPr="006227C7" w:rsidRDefault="001146DD" w:rsidP="0088024F">
      <w:pPr>
        <w:ind w:firstLine="720"/>
        <w:contextualSpacing/>
        <w:jc w:val="both"/>
        <w:rPr>
          <w:b/>
        </w:rPr>
      </w:pPr>
      <w:r w:rsidRPr="006227C7">
        <w:rPr>
          <w:b/>
        </w:rPr>
        <w:lastRenderedPageBreak/>
        <w:t xml:space="preserve">Introduction </w:t>
      </w:r>
    </w:p>
    <w:p w:rsidR="001146DD" w:rsidRDefault="00000257" w:rsidP="0088024F">
      <w:pPr>
        <w:ind w:firstLine="720"/>
        <w:contextualSpacing/>
        <w:jc w:val="both"/>
      </w:pPr>
      <w:r>
        <w:t xml:space="preserve">   The rates of the crime rates have been on the rise.  Crimes committed against people</w:t>
      </w:r>
      <w:r w:rsidR="00916FF5">
        <w:t xml:space="preserve"> are increasing with some being physical, violen</w:t>
      </w:r>
      <w:r w:rsidR="00E86F13">
        <w:t>t, and at times very prominent. Some of the common wrongdoings that are committed in the society include domestic violence, rape, child abuse, and murder among others.  Assault and battery may appear to be similar but they are different types of offenses.  They both have similar characteristics which is causing harm to an individual. Therefore, these offenses may at times be classified as lawful offenses as well as wrongdoing depending on the interpretation of the normal law and the extent to which the crime occurred. Battery and assault are two offenses that have been tied together and the interpretation makes a huge difference</w:t>
      </w:r>
      <w:r w:rsidR="0088024F" w:rsidRPr="0088024F">
        <w:t xml:space="preserve"> </w:t>
      </w:r>
      <w:r w:rsidR="0088024F">
        <w:t>(Elmore &amp; Ross, 2015)</w:t>
      </w:r>
      <w:r w:rsidR="00E86F13">
        <w:t xml:space="preserve">. </w:t>
      </w:r>
    </w:p>
    <w:p w:rsidR="00E86F13" w:rsidRPr="006227C7" w:rsidRDefault="00E86F13" w:rsidP="0088024F">
      <w:pPr>
        <w:ind w:firstLine="720"/>
        <w:contextualSpacing/>
        <w:jc w:val="both"/>
        <w:rPr>
          <w:b/>
        </w:rPr>
      </w:pPr>
      <w:r w:rsidRPr="006227C7">
        <w:rPr>
          <w:b/>
        </w:rPr>
        <w:t>Crime of battery and crime of assault</w:t>
      </w:r>
    </w:p>
    <w:p w:rsidR="00C54CD4" w:rsidRDefault="00E86F13" w:rsidP="0088024F">
      <w:pPr>
        <w:ind w:firstLine="720"/>
        <w:contextualSpacing/>
        <w:jc w:val="both"/>
      </w:pPr>
      <w:r>
        <w:t>Crime of assault is categorized as a crime that causes bodily harm which has been coupled with the ability to</w:t>
      </w:r>
      <w:r w:rsidR="00A1607E">
        <w:t xml:space="preserve"> inflict harm to an individual. Assault is classified as both a tort and crime and in most cases it might result to both civil and criminal liability. On the other hand, criminal battery is crime that leads to causing if physical harm to an individual. A crime is classified as battery if the act is violent, offensive, painful, and harmful</w:t>
      </w:r>
      <w:r w:rsidR="00C54CD4">
        <w:t xml:space="preserve"> especially to the victim or the person at the receiving end. Battery and assault has some major similarities in the sense that they </w:t>
      </w:r>
      <w:r w:rsidR="006227C7">
        <w:t>are both crimes. However, these crimes utilize physical force in a wrong way</w:t>
      </w:r>
      <w:r w:rsidR="0088024F">
        <w:t xml:space="preserve"> (</w:t>
      </w:r>
      <w:proofErr w:type="spellStart"/>
      <w:r w:rsidR="0088024F">
        <w:t>Ormerod</w:t>
      </w:r>
      <w:proofErr w:type="spellEnd"/>
      <w:r w:rsidR="0088024F">
        <w:t>, Laird</w:t>
      </w:r>
      <w:r w:rsidR="0088024F" w:rsidRPr="0088024F">
        <w:t>, Sm</w:t>
      </w:r>
      <w:r w:rsidR="0088024F">
        <w:t>ith &amp; Hogan, 2015)</w:t>
      </w:r>
      <w:r w:rsidR="006227C7">
        <w:t xml:space="preserve">. </w:t>
      </w:r>
    </w:p>
    <w:p w:rsidR="006227C7" w:rsidRPr="0088024F" w:rsidRDefault="0088024F" w:rsidP="0088024F">
      <w:pPr>
        <w:ind w:firstLine="720"/>
        <w:contextualSpacing/>
        <w:jc w:val="both"/>
        <w:rPr>
          <w:b/>
        </w:rPr>
      </w:pPr>
      <w:r>
        <w:rPr>
          <w:b/>
        </w:rPr>
        <w:t xml:space="preserve">Case of Battery </w:t>
      </w:r>
    </w:p>
    <w:p w:rsidR="006227C7" w:rsidRDefault="006227C7" w:rsidP="0088024F">
      <w:pPr>
        <w:ind w:firstLine="720"/>
        <w:contextualSpacing/>
        <w:jc w:val="both"/>
      </w:pPr>
      <w:r>
        <w:t>Joseph</w:t>
      </w:r>
      <w:r>
        <w:t xml:space="preserve"> gets the op</w:t>
      </w:r>
      <w:r>
        <w:t>portunity to be angry with Simon over the $2</w:t>
      </w:r>
      <w:r>
        <w:t xml:space="preserve">00 that Check owes him. The two get </w:t>
      </w:r>
      <w:r>
        <w:t>into a dispute that prompts Joseph punching Simon</w:t>
      </w:r>
      <w:r>
        <w:t xml:space="preserve"> in t</w:t>
      </w:r>
      <w:r>
        <w:t xml:space="preserve">he face, breaking his nose. </w:t>
      </w:r>
      <w:r>
        <w:lastRenderedPageBreak/>
        <w:t>Joseph</w:t>
      </w:r>
      <w:r>
        <w:t xml:space="preserve"> catches and blamed for battery, and, </w:t>
      </w:r>
      <w:r>
        <w:t>despite the criminal case, Simon</w:t>
      </w:r>
      <w:r>
        <w:t xml:space="preserve"> uti</w:t>
      </w:r>
      <w:r>
        <w:t>lizes Joseph</w:t>
      </w:r>
      <w:r>
        <w:t xml:space="preserve"> when all is said in don</w:t>
      </w:r>
      <w:r>
        <w:t>e court for remedial expenses</w:t>
      </w:r>
      <w:r w:rsidR="0088024F">
        <w:t xml:space="preserve"> (Reid, 2015)</w:t>
      </w:r>
      <w:r>
        <w:t>.</w:t>
      </w:r>
    </w:p>
    <w:p w:rsidR="006227C7" w:rsidRPr="003A2B17" w:rsidRDefault="006227C7" w:rsidP="0088024F">
      <w:pPr>
        <w:ind w:firstLine="720"/>
        <w:contextualSpacing/>
        <w:jc w:val="both"/>
        <w:rPr>
          <w:b/>
        </w:rPr>
      </w:pPr>
      <w:r w:rsidRPr="003A2B17">
        <w:rPr>
          <w:b/>
        </w:rPr>
        <w:t>Case of Assault</w:t>
      </w:r>
    </w:p>
    <w:p w:rsidR="006227C7" w:rsidRDefault="003A2B17" w:rsidP="0088024F">
      <w:pPr>
        <w:ind w:firstLine="720"/>
        <w:contextualSpacing/>
        <w:jc w:val="both"/>
      </w:pPr>
      <w:r>
        <w:t>Joseph</w:t>
      </w:r>
      <w:r w:rsidR="006227C7">
        <w:t xml:space="preserve"> gets infuriated</w:t>
      </w:r>
      <w:r w:rsidR="006227C7">
        <w:t xml:space="preserve"> </w:t>
      </w:r>
      <w:r>
        <w:t>by Simon over the $2</w:t>
      </w:r>
      <w:r w:rsidR="006227C7">
        <w:t>00 that Check owes him. They two men get into a horrible di</w:t>
      </w:r>
      <w:r>
        <w:t>spute in the midst of which Joseph undermines to punch Simon</w:t>
      </w:r>
      <w:r w:rsidR="006227C7">
        <w:t xml:space="preserve"> in </w:t>
      </w:r>
      <w:r>
        <w:t>the face. This peril makes Simon fear he will be harmed. Joseph is blamed</w:t>
      </w:r>
      <w:r w:rsidR="006227C7">
        <w:t xml:space="preserve"> for the assault, notwithstanding the way that he </w:t>
      </w:r>
      <w:proofErr w:type="gramStart"/>
      <w:r w:rsidR="006227C7">
        <w:t>fail</w:t>
      </w:r>
      <w:proofErr w:type="gramEnd"/>
      <w:r w:rsidR="006227C7">
        <w:t xml:space="preserve"> to do the risk. Along these lines, ther</w:t>
      </w:r>
      <w:r>
        <w:t>e was no genuine real mischief</w:t>
      </w:r>
      <w:r w:rsidR="0088024F">
        <w:t xml:space="preserve"> (Reid, 2015)</w:t>
      </w:r>
      <w:r>
        <w:t xml:space="preserve">. </w:t>
      </w:r>
    </w:p>
    <w:p w:rsidR="006227C7" w:rsidRPr="003A2B17" w:rsidRDefault="003A2B17" w:rsidP="0088024F">
      <w:pPr>
        <w:ind w:firstLine="720"/>
        <w:contextualSpacing/>
        <w:jc w:val="both"/>
        <w:rPr>
          <w:b/>
        </w:rPr>
      </w:pPr>
      <w:r w:rsidRPr="003A2B17">
        <w:rPr>
          <w:b/>
        </w:rPr>
        <w:t>Battery and Assault in different Jurisdictions</w:t>
      </w:r>
    </w:p>
    <w:p w:rsidR="006227C7" w:rsidRDefault="003A2B17" w:rsidP="0088024F">
      <w:pPr>
        <w:ind w:firstLine="720"/>
        <w:contextualSpacing/>
        <w:jc w:val="both"/>
      </w:pPr>
      <w:r>
        <w:t>In the situation, when (A</w:t>
      </w:r>
      <w:r w:rsidR="006227C7">
        <w:t>) is strolling alone late during the evening when a man all of a sudden hops before her and drags her into a rea</w:t>
      </w:r>
      <w:r>
        <w:t>r way. The assailant strikes (A</w:t>
      </w:r>
      <w:r w:rsidR="006227C7">
        <w:t>) and tears her garments. Luckily, (A) hits the assailant with a stone and hurries to security. As per the definition, it's a criminal battery since she physically hurts. Indeed, purview ought to rebuff the man's activities as a battery. A couple of p</w:t>
      </w:r>
      <w:r>
        <w:t>urviews allow the honor of "Punitive Damages</w:t>
      </w:r>
      <w:r w:rsidR="006227C7">
        <w:t xml:space="preserve">". They frequently give when the offense was submitted wantonly or threateningly to rebuke the defendant for the wrongful show and to deter others from partaking exceptional acts later on. The respondent may in addition be at risk to criminal </w:t>
      </w:r>
      <w:r>
        <w:t xml:space="preserve">commitment. </w:t>
      </w:r>
    </w:p>
    <w:p w:rsidR="006227C7" w:rsidRDefault="006227C7" w:rsidP="0088024F">
      <w:pPr>
        <w:ind w:firstLine="720"/>
        <w:contextualSpacing/>
        <w:jc w:val="both"/>
      </w:pPr>
      <w:r>
        <w:t xml:space="preserve">In the event that a prosecutor is found criminally in danger, </w:t>
      </w:r>
      <w:proofErr w:type="gramStart"/>
      <w:r>
        <w:t>the teach</w:t>
      </w:r>
      <w:proofErr w:type="gramEnd"/>
      <w:r>
        <w:t xml:space="preserve"> is confinement, a fine, or both. The measure of time an inquirer must serve in prison depends on the statute in the specific ward. Exactly when the offense is submitted with a reason to execute or do considerable harm, it is called exasperated battery and ambush. A bothered battery and attack much of the time committed with a dangerous weapon, and it is chargeable as a leg</w:t>
      </w:r>
      <w:r w:rsidR="003A2B17">
        <w:t xml:space="preserve">itimate offense in all states. </w:t>
      </w:r>
    </w:p>
    <w:p w:rsidR="003A2B17" w:rsidRPr="003A2B17" w:rsidRDefault="006227C7" w:rsidP="0088024F">
      <w:pPr>
        <w:ind w:firstLine="720"/>
        <w:contextualSpacing/>
        <w:jc w:val="both"/>
        <w:rPr>
          <w:b/>
        </w:rPr>
      </w:pPr>
      <w:r w:rsidRPr="003A2B17">
        <w:rPr>
          <w:b/>
        </w:rPr>
        <w:lastRenderedPageBreak/>
        <w:t xml:space="preserve">Change from </w:t>
      </w:r>
      <w:r w:rsidR="003A2B17" w:rsidRPr="003A2B17">
        <w:rPr>
          <w:b/>
        </w:rPr>
        <w:t xml:space="preserve">battery and assault to consensual contacting </w:t>
      </w:r>
    </w:p>
    <w:p w:rsidR="006227C7" w:rsidRDefault="006227C7" w:rsidP="0088024F">
      <w:pPr>
        <w:ind w:firstLine="720"/>
        <w:contextualSpacing/>
        <w:jc w:val="both"/>
      </w:pPr>
      <w:r>
        <w:t>In the event that both are now in connection, and she is strolling alone late during the evening, and he need to meet her. At that point the circumstance is totally evolving. It absolutely changes from strike or battery to consensual contacting. Battery and attack are offenses in both criminal and Tort Law; therefore, they can offer ascent to common risk or criminal. In Criminal Law, a trap may besides be portrayed as any endeavor to do a battery. Be that as it may, in the wake of changing the situation, the condition is affected and not arrived in</w:t>
      </w:r>
      <w:r w:rsidR="003A2B17">
        <w:t xml:space="preserve"> a criminal attack or battery. </w:t>
      </w:r>
    </w:p>
    <w:p w:rsidR="006227C7" w:rsidRPr="003A2B17" w:rsidRDefault="003A2B17" w:rsidP="0088024F">
      <w:pPr>
        <w:ind w:firstLine="720"/>
        <w:contextualSpacing/>
        <w:jc w:val="both"/>
        <w:rPr>
          <w:b/>
        </w:rPr>
      </w:pPr>
      <w:r w:rsidRPr="003A2B17">
        <w:rPr>
          <w:b/>
        </w:rPr>
        <w:t xml:space="preserve">Wrongdoing of false detainment </w:t>
      </w:r>
    </w:p>
    <w:p w:rsidR="006227C7" w:rsidRDefault="006227C7" w:rsidP="0088024F">
      <w:pPr>
        <w:ind w:firstLine="720"/>
        <w:contextualSpacing/>
        <w:jc w:val="both"/>
      </w:pPr>
      <w:r>
        <w:t>False detainment is the unlawful impediment of a person without needing to purchase someone without legitimate avocation or expert. For example, a prepared bank criminal yells at the customers to get down on the floor, undermining to shoot them in the event that they endeavor to evacuate. Since they know they may butcher if attempts to leave, they are being held without needing to. The prisoner bank customers may have the ability to guarantee hurts, and the bank criminal may blame for the ba</w:t>
      </w:r>
      <w:r w:rsidR="003A2B17">
        <w:t>d behavior of false detainment</w:t>
      </w:r>
      <w:r w:rsidR="0088024F">
        <w:t xml:space="preserve"> (</w:t>
      </w:r>
      <w:proofErr w:type="spellStart"/>
      <w:r w:rsidR="0088024F">
        <w:t>Ormerod</w:t>
      </w:r>
      <w:proofErr w:type="spellEnd"/>
      <w:r w:rsidR="0088024F">
        <w:t>, Laird</w:t>
      </w:r>
      <w:r w:rsidR="0088024F" w:rsidRPr="0088024F">
        <w:t>, Sm</w:t>
      </w:r>
      <w:r w:rsidR="0088024F">
        <w:t>ith &amp; Hogan, 2015)</w:t>
      </w:r>
      <w:r w:rsidR="003A2B17">
        <w:t xml:space="preserve">. </w:t>
      </w:r>
    </w:p>
    <w:p w:rsidR="006227C7" w:rsidRDefault="006227C7" w:rsidP="0088024F">
      <w:pPr>
        <w:ind w:firstLine="720"/>
        <w:contextualSpacing/>
        <w:jc w:val="both"/>
      </w:pPr>
      <w:r>
        <w:t xml:space="preserve">No, the court permits indicting the assailant to rebuff him. Since they definitely know to each other, at that point there is no association of the court. Be that as it may, after some time they got isolated and this sort of circumstance can happen and some </w:t>
      </w:r>
      <w:proofErr w:type="spellStart"/>
      <w:r>
        <w:t>mishappening</w:t>
      </w:r>
      <w:proofErr w:type="spellEnd"/>
      <w:r>
        <w:t xml:space="preserve"> happen then the court to permit the convict the aggressor t</w:t>
      </w:r>
      <w:r w:rsidR="003A2B17">
        <w:t xml:space="preserve">o rebuff him. </w:t>
      </w:r>
    </w:p>
    <w:p w:rsidR="006227C7" w:rsidRPr="003A2B17" w:rsidRDefault="003A2B17" w:rsidP="0088024F">
      <w:pPr>
        <w:ind w:firstLine="720"/>
        <w:contextualSpacing/>
        <w:jc w:val="both"/>
        <w:rPr>
          <w:b/>
        </w:rPr>
      </w:pPr>
      <w:r w:rsidRPr="003A2B17">
        <w:rPr>
          <w:b/>
        </w:rPr>
        <w:t>Violations</w:t>
      </w:r>
      <w:r w:rsidR="006227C7" w:rsidRPr="003A2B17">
        <w:rPr>
          <w:b/>
        </w:rPr>
        <w:t xml:space="preserve"> of </w:t>
      </w:r>
      <w:r w:rsidRPr="003A2B17">
        <w:rPr>
          <w:b/>
        </w:rPr>
        <w:t xml:space="preserve">false detainment and abducting </w:t>
      </w:r>
    </w:p>
    <w:p w:rsidR="006227C7" w:rsidRDefault="006227C7" w:rsidP="0088024F">
      <w:pPr>
        <w:ind w:firstLine="720"/>
        <w:contextualSpacing/>
        <w:jc w:val="both"/>
      </w:pPr>
      <w:r>
        <w:t xml:space="preserve">False Detainment and Seizing have associated infringement with altogether different disciplines. False Detainment happens when a man is influentially or unpretentiously confined, </w:t>
      </w:r>
      <w:r>
        <w:lastRenderedPageBreak/>
        <w:t>stole, kept or restricted without a real reason without needing to. It is meriting up to 5 years in prison. Seizing is False Detainment with the arrangement to submit or support a legal offense. The line between these two offenses is consistently extraordinarily unpretentious, and the organization will habitually charge Hijacking when they can simply exhibit False Detainment. Hijacki</w:t>
      </w:r>
      <w:r w:rsidR="003A2B17">
        <w:t xml:space="preserve">ng is meriting life in prison. </w:t>
      </w:r>
    </w:p>
    <w:p w:rsidR="006227C7" w:rsidRDefault="006227C7" w:rsidP="0088024F">
      <w:pPr>
        <w:ind w:firstLine="720"/>
        <w:contextualSpacing/>
        <w:jc w:val="both"/>
      </w:pPr>
      <w:r>
        <w:t>Where False Detainment or Abducting charged, and the loss is a tyke under 13 years of age and the defendant does exasperated youth abuse or any of different sexual offenses against the tyke, the bad behavior gets the opportunity to be bothered, and the level of teach increases. For False Detainment, the bad behavior transforms into a legal offense of the principal degree a</w:t>
      </w:r>
      <w:r w:rsidR="003A2B17">
        <w:t xml:space="preserve">nd is meriting life in prison. </w:t>
      </w:r>
    </w:p>
    <w:p w:rsidR="006227C7" w:rsidRPr="003A2B17" w:rsidRDefault="003A2B17" w:rsidP="0088024F">
      <w:pPr>
        <w:ind w:firstLine="720"/>
        <w:contextualSpacing/>
        <w:jc w:val="both"/>
        <w:rPr>
          <w:b/>
        </w:rPr>
      </w:pPr>
      <w:r w:rsidRPr="003A2B17">
        <w:rPr>
          <w:b/>
        </w:rPr>
        <w:t>Kidnapping</w:t>
      </w:r>
    </w:p>
    <w:p w:rsidR="006227C7" w:rsidRDefault="003A2B17" w:rsidP="0088024F">
      <w:pPr>
        <w:ind w:firstLine="720"/>
        <w:contextualSpacing/>
        <w:jc w:val="both"/>
      </w:pPr>
      <w:r>
        <w:t>Kidnapping</w:t>
      </w:r>
      <w:r w:rsidR="006227C7">
        <w:t xml:space="preserve"> happens when a man, without true blue power, physically moves another person without that other person's consent, with the objective to use the capturing in regards to some extraordinary fiendishness target. </w:t>
      </w:r>
      <w:r>
        <w:t xml:space="preserve">Kidnapping </w:t>
      </w:r>
      <w:r w:rsidR="006227C7">
        <w:t>may achieve for political or emancipate reason or diverse purposes. Catching can be of first degree or second degree. Commandeering is a bad behavior which is punishable u</w:t>
      </w:r>
      <w:r>
        <w:t xml:space="preserve">pon the productive indictment. </w:t>
      </w:r>
    </w:p>
    <w:p w:rsidR="003A2B17" w:rsidRDefault="003A2B17" w:rsidP="0088024F">
      <w:pPr>
        <w:ind w:firstLine="720"/>
        <w:contextualSpacing/>
        <w:jc w:val="both"/>
        <w:rPr>
          <w:b/>
        </w:rPr>
      </w:pPr>
      <w:r w:rsidRPr="003A2B17">
        <w:rPr>
          <w:b/>
        </w:rPr>
        <w:t>False imprisonment</w:t>
      </w:r>
    </w:p>
    <w:p w:rsidR="006227C7" w:rsidRPr="003A2B17" w:rsidRDefault="003A2B17" w:rsidP="0088024F">
      <w:pPr>
        <w:ind w:firstLine="720"/>
        <w:contextualSpacing/>
        <w:jc w:val="both"/>
        <w:rPr>
          <w:b/>
        </w:rPr>
      </w:pPr>
      <w:r>
        <w:rPr>
          <w:b/>
        </w:rPr>
        <w:t>F</w:t>
      </w:r>
      <w:r w:rsidR="006227C7">
        <w:t xml:space="preserve">alse detainment, on the other hand, offers ascend to a typical claim for hurts. False detainment infers the illegal constraint of one individual without his or her consent by someone else so as to harm the restricted person's qualification to be free from the limitation </w:t>
      </w:r>
      <w:r>
        <w:t xml:space="preserve">of improvement. </w:t>
      </w:r>
    </w:p>
    <w:p w:rsidR="006227C7" w:rsidRDefault="006227C7" w:rsidP="0088024F">
      <w:pPr>
        <w:ind w:firstLine="720"/>
        <w:contextualSpacing/>
        <w:jc w:val="both"/>
      </w:pPr>
      <w:r>
        <w:t xml:space="preserve">Capturing is more egregious than violations of false detainment. The Georgia statute communicates that false confinement is presented by a catch, suppression or confinement of the </w:t>
      </w:r>
      <w:r>
        <w:lastRenderedPageBreak/>
        <w:t>person, without true blue power, which harms the individual's up close and personal flexibility. A catching happens when a man grabs or takes away any individual without legitimate specialist or warrant and holds such individual without needing to. The Georgia redrafting court saw that the primary complexity between false confinement and catching is that seizing requires</w:t>
      </w:r>
      <w:r w:rsidR="003A2B17">
        <w:t xml:space="preserve"> </w:t>
      </w:r>
      <w:r w:rsidR="0088024F">
        <w:t xml:space="preserve">aspiration (Roberson &amp; Wallace, </w:t>
      </w:r>
      <w:r w:rsidR="0088024F" w:rsidRPr="003A2B17">
        <w:t>2016). </w:t>
      </w:r>
      <w:r w:rsidR="003A2B17">
        <w:t xml:space="preserve">. </w:t>
      </w:r>
    </w:p>
    <w:p w:rsidR="003A2B17" w:rsidRPr="002324EB" w:rsidRDefault="003A2B17" w:rsidP="0088024F">
      <w:pPr>
        <w:ind w:firstLine="720"/>
        <w:contextualSpacing/>
        <w:jc w:val="both"/>
        <w:rPr>
          <w:rFonts w:cs="Times New Roman"/>
          <w:b/>
          <w:szCs w:val="24"/>
        </w:rPr>
      </w:pPr>
      <w:r w:rsidRPr="002324EB">
        <w:rPr>
          <w:rFonts w:cs="Times New Roman"/>
          <w:b/>
          <w:szCs w:val="24"/>
        </w:rPr>
        <w:t xml:space="preserve">Attacker </w:t>
      </w:r>
      <w:r w:rsidRPr="002324EB">
        <w:rPr>
          <w:rFonts w:cs="Times New Roman"/>
          <w:b/>
          <w:noProof/>
          <w:szCs w:val="24"/>
        </w:rPr>
        <w:t>defends</w:t>
      </w:r>
      <w:r w:rsidRPr="002324EB">
        <w:rPr>
          <w:rFonts w:cs="Times New Roman"/>
          <w:b/>
          <w:szCs w:val="24"/>
        </w:rPr>
        <w:t xml:space="preserve"> himself or not</w:t>
      </w:r>
    </w:p>
    <w:p w:rsidR="006227C7" w:rsidRDefault="006227C7" w:rsidP="0088024F">
      <w:pPr>
        <w:ind w:firstLine="720"/>
        <w:contextualSpacing/>
        <w:jc w:val="both"/>
      </w:pPr>
      <w:r>
        <w:t>As indicated by the circumstance the aggressor will endeavor to guard himself in light of the fact that each need to spare from others. Self-Preservation is stressed over guaranteeing human appendage and life, not with teach. Consequently, hazard, not spurn, is a more appropriate idea to invoke with</w:t>
      </w:r>
      <w:r w:rsidR="003A2B17">
        <w:t xml:space="preserve"> respect to self-safeguarding</w:t>
      </w:r>
      <w:r w:rsidR="0088024F">
        <w:t xml:space="preserve"> (Elmore &amp; Ross, 2015)</w:t>
      </w:r>
      <w:r w:rsidR="003A2B17">
        <w:t xml:space="preserve">. </w:t>
      </w:r>
    </w:p>
    <w:p w:rsidR="006227C7" w:rsidRDefault="006227C7" w:rsidP="0088024F">
      <w:pPr>
        <w:ind w:firstLine="720"/>
        <w:contextualSpacing/>
        <w:jc w:val="both"/>
      </w:pPr>
      <w:r>
        <w:t xml:space="preserve">The conditions for good risk to wary killing are an ethical commitment, through an action that necessities target legitimization, for a threat of criminal harm to others. Where </w:t>
      </w:r>
      <w:r w:rsidR="003A2B17">
        <w:t>wickedness</w:t>
      </w:r>
      <w:r>
        <w:t xml:space="preserve"> is out of line in case it is one to which the setback isn't in danger and to which she has not assented. In this circumstance, to spare his life he w</w:t>
      </w:r>
      <w:r w:rsidR="003A2B17">
        <w:t>ill endeavor to shield himself.</w:t>
      </w:r>
    </w:p>
    <w:p w:rsidR="0088024F" w:rsidRDefault="0088024F" w:rsidP="006227C7"/>
    <w:p w:rsidR="0088024F" w:rsidRDefault="0088024F" w:rsidP="006227C7"/>
    <w:p w:rsidR="0088024F" w:rsidRDefault="0088024F" w:rsidP="006227C7"/>
    <w:p w:rsidR="0088024F" w:rsidRDefault="0088024F" w:rsidP="006227C7"/>
    <w:p w:rsidR="0088024F" w:rsidRDefault="0088024F" w:rsidP="006227C7"/>
    <w:p w:rsidR="0088024F" w:rsidRDefault="0088024F" w:rsidP="006227C7"/>
    <w:p w:rsidR="0088024F" w:rsidRDefault="0088024F" w:rsidP="006227C7"/>
    <w:p w:rsidR="0088024F" w:rsidRDefault="0088024F" w:rsidP="006227C7"/>
    <w:p w:rsidR="003A2B17" w:rsidRDefault="0088024F" w:rsidP="0088024F">
      <w:pPr>
        <w:contextualSpacing/>
        <w:jc w:val="center"/>
      </w:pPr>
      <w:r>
        <w:t>References</w:t>
      </w:r>
    </w:p>
    <w:p w:rsidR="0088024F" w:rsidRDefault="0088024F" w:rsidP="0088024F">
      <w:pPr>
        <w:ind w:left="720" w:hanging="720"/>
        <w:contextualSpacing/>
      </w:pPr>
      <w:r w:rsidRPr="003A2B17">
        <w:t>Elmore, J., &amp; Ross, L. (2015). Defending individuals charged with domestic assault and battery. </w:t>
      </w:r>
      <w:r w:rsidRPr="003A2B17">
        <w:rPr>
          <w:i/>
          <w:iCs/>
        </w:rPr>
        <w:t>Continuing the war against domestic violence</w:t>
      </w:r>
      <w:r w:rsidRPr="003A2B17">
        <w:t>, </w:t>
      </w:r>
      <w:r w:rsidRPr="003A2B17">
        <w:rPr>
          <w:i/>
          <w:iCs/>
        </w:rPr>
        <w:t>2</w:t>
      </w:r>
      <w:r w:rsidRPr="003A2B17">
        <w:t>, 269-285.</w:t>
      </w:r>
    </w:p>
    <w:p w:rsidR="0088024F" w:rsidRDefault="0088024F" w:rsidP="0088024F">
      <w:pPr>
        <w:ind w:left="720" w:hanging="720"/>
        <w:contextualSpacing/>
      </w:pPr>
      <w:proofErr w:type="spellStart"/>
      <w:r w:rsidRPr="0088024F">
        <w:t>Ormerod</w:t>
      </w:r>
      <w:proofErr w:type="spellEnd"/>
      <w:r w:rsidRPr="0088024F">
        <w:t>, D., Laird, K., Smith, J. C., &amp; Hogan, B. (2015). </w:t>
      </w:r>
      <w:r w:rsidRPr="0088024F">
        <w:rPr>
          <w:i/>
          <w:iCs/>
        </w:rPr>
        <w:t>Smith and Hogan's criminal law</w:t>
      </w:r>
      <w:r w:rsidRPr="0088024F">
        <w:t>. Oxford University Press, USA.</w:t>
      </w:r>
    </w:p>
    <w:p w:rsidR="0088024F" w:rsidRDefault="0088024F" w:rsidP="0088024F">
      <w:pPr>
        <w:ind w:left="720" w:hanging="720"/>
        <w:contextualSpacing/>
      </w:pPr>
      <w:r w:rsidRPr="0088024F">
        <w:t>Reid, S. T. (2015). </w:t>
      </w:r>
      <w:r w:rsidRPr="0088024F">
        <w:rPr>
          <w:i/>
          <w:iCs/>
        </w:rPr>
        <w:t>Crime and criminology</w:t>
      </w:r>
      <w:r w:rsidRPr="0088024F">
        <w:t>. Wolters Kluwer Law &amp; Business.</w:t>
      </w:r>
    </w:p>
    <w:p w:rsidR="0088024F" w:rsidRDefault="0088024F" w:rsidP="0088024F">
      <w:pPr>
        <w:ind w:left="720" w:hanging="720"/>
        <w:contextualSpacing/>
      </w:pPr>
      <w:r w:rsidRPr="003A2B17">
        <w:t>Roberson, C., &amp; Wallace, H. (2016). </w:t>
      </w:r>
      <w:r w:rsidRPr="003A2B17">
        <w:rPr>
          <w:i/>
          <w:iCs/>
        </w:rPr>
        <w:t>Principles of Criminal Law</w:t>
      </w:r>
      <w:r w:rsidRPr="003A2B17">
        <w:t>. Pearson Education, Incorporated.</w:t>
      </w:r>
    </w:p>
    <w:sectPr w:rsidR="0088024F" w:rsidSect="008802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1D5" w:rsidRDefault="00E411D5" w:rsidP="0088024F">
      <w:pPr>
        <w:spacing w:after="0" w:line="240" w:lineRule="auto"/>
      </w:pPr>
      <w:r>
        <w:separator/>
      </w:r>
    </w:p>
  </w:endnote>
  <w:endnote w:type="continuationSeparator" w:id="0">
    <w:p w:rsidR="00E411D5" w:rsidRDefault="00E411D5" w:rsidP="00880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1D5" w:rsidRDefault="00E411D5" w:rsidP="0088024F">
      <w:pPr>
        <w:spacing w:after="0" w:line="240" w:lineRule="auto"/>
      </w:pPr>
      <w:r>
        <w:separator/>
      </w:r>
    </w:p>
  </w:footnote>
  <w:footnote w:type="continuationSeparator" w:id="0">
    <w:p w:rsidR="00E411D5" w:rsidRDefault="00E411D5" w:rsidP="008802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24F" w:rsidRDefault="0088024F">
    <w:pPr>
      <w:pStyle w:val="Header"/>
      <w:jc w:val="right"/>
    </w:pPr>
    <w:r>
      <w:t xml:space="preserve">ASSAULTS, BATTERY, AND CRIMES AGAINST PERSONS                                            </w:t>
    </w:r>
    <w:sdt>
      <w:sdtPr>
        <w:id w:val="15753920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76CA">
          <w:rPr>
            <w:noProof/>
          </w:rPr>
          <w:t>2</w:t>
        </w:r>
        <w:r>
          <w:rPr>
            <w:noProof/>
          </w:rPr>
          <w:fldChar w:fldCharType="end"/>
        </w:r>
      </w:sdtContent>
    </w:sdt>
  </w:p>
  <w:p w:rsidR="0088024F" w:rsidRDefault="008802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24F" w:rsidRDefault="0088024F">
    <w:pPr>
      <w:pStyle w:val="Header"/>
      <w:jc w:val="right"/>
    </w:pPr>
    <w:r>
      <w:t xml:space="preserve">Running head: ASSAULT, BATTERY, AND CRIMES AGAINST PERSONS                      </w:t>
    </w:r>
    <w:sdt>
      <w:sdtPr>
        <w:id w:val="6770880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76CA">
          <w:rPr>
            <w:noProof/>
          </w:rPr>
          <w:t>1</w:t>
        </w:r>
        <w:r>
          <w:rPr>
            <w:noProof/>
          </w:rPr>
          <w:fldChar w:fldCharType="end"/>
        </w:r>
      </w:sdtContent>
    </w:sdt>
  </w:p>
  <w:p w:rsidR="0088024F" w:rsidRDefault="008802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wMTA2tbS0MDQwNLVU0lEKTi0uzszPAykwrAUAAH0peCwAAAA="/>
  </w:docVars>
  <w:rsids>
    <w:rsidRoot w:val="00CB1627"/>
    <w:rsid w:val="00000257"/>
    <w:rsid w:val="001146DD"/>
    <w:rsid w:val="003A2B17"/>
    <w:rsid w:val="005F160D"/>
    <w:rsid w:val="006227C7"/>
    <w:rsid w:val="0088024F"/>
    <w:rsid w:val="00916FF5"/>
    <w:rsid w:val="00A1607E"/>
    <w:rsid w:val="00B376CA"/>
    <w:rsid w:val="00C54CD4"/>
    <w:rsid w:val="00CB1627"/>
    <w:rsid w:val="00E411D5"/>
    <w:rsid w:val="00E86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24F"/>
  </w:style>
  <w:style w:type="paragraph" w:styleId="Footer">
    <w:name w:val="footer"/>
    <w:basedOn w:val="Normal"/>
    <w:link w:val="FooterChar"/>
    <w:uiPriority w:val="99"/>
    <w:unhideWhenUsed/>
    <w:rsid w:val="00880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2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24F"/>
  </w:style>
  <w:style w:type="paragraph" w:styleId="Footer">
    <w:name w:val="footer"/>
    <w:basedOn w:val="Normal"/>
    <w:link w:val="FooterChar"/>
    <w:uiPriority w:val="99"/>
    <w:unhideWhenUsed/>
    <w:rsid w:val="00880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1324</Words>
  <Characters>7549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2018-06-10T00:00:00Z</dcterms:created>
  <dcterms:modified xsi:type="dcterms:W3CDTF">2018-06-10T00:00:00Z</dcterms:modified>
</cp:coreProperties>
</file>